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B95584C">
      <w:pPr>
        <w:bidi w:val="0"/>
        <w:ind w:firstLine="562" w:firstLineChars="200"/>
        <w:jc w:val="center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铜陵中学</w:t>
      </w:r>
      <w:r>
        <w:rPr>
          <w:rFonts w:hint="default" w:ascii="宋体" w:hAnsi="宋体" w:eastAsia="宋体" w:cs="宋体"/>
          <w:b/>
          <w:bCs/>
          <w:sz w:val="28"/>
          <w:szCs w:val="28"/>
          <w:lang w:val="en-US" w:eastAsia="zh-CN"/>
        </w:rPr>
        <w:t>生物组织培养空间实验室物品询价公告​</w:t>
      </w:r>
    </w:p>
    <w:p w14:paraId="41CEFF39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铜陵中学因教学需要，拟询价采购一批生物组织培养空间实验室物品。本次采购旨在提升学生创新能力水平，实现科教融合等功能。</w:t>
      </w:r>
    </w:p>
    <w:p w14:paraId="0A29D9BE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一、采购单位​</w:t>
      </w:r>
      <w:bookmarkStart w:id="0" w:name="_GoBack"/>
      <w:bookmarkEnd w:id="0"/>
    </w:p>
    <w:p w14:paraId="7B3C8CCD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铜陵中学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（地址：安徽省铜陵市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义安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区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顺凤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路 ；联系人：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韩老师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；联系电话：0562-2806010；邮政编码：244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00）​</w:t>
      </w:r>
    </w:p>
    <w:p w14:paraId="50E085B4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二、项目名称​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铜陵中学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生物组织培养空间实验室物品采购项目</w:t>
      </w:r>
    </w:p>
    <w:p w14:paraId="2692F9EF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三、采购方式​</w:t>
      </w:r>
    </w:p>
    <w:p w14:paraId="3F9E5C23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询价采购（本项目不接受联合体报价，不允许分包或转包）​</w:t>
      </w:r>
    </w:p>
    <w:p w14:paraId="3446C0EA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四、采购物品具体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、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规格、数量及技术参数如下：​</w:t>
      </w:r>
    </w:p>
    <w:tbl>
      <w:tblPr>
        <w:tblStyle w:val="2"/>
        <w:tblW w:w="921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8"/>
        <w:gridCol w:w="1232"/>
        <w:gridCol w:w="5521"/>
        <w:gridCol w:w="850"/>
        <w:gridCol w:w="954"/>
      </w:tblGrid>
      <w:tr w14:paraId="1F83DC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ED5E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12B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产品名称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9740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技术参数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B9AB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30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 w14:paraId="6A4A2E7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F75F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571A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电子天平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C5B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1.流畅新颖的外形设计，体现了对现代理念的追求。新的设计，使称重的反应速度更快，定点更迅速。独特的金属底座及机械构造，确保了天平的稳定性，增加了天平的抗干扰性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2.具备多种计量单位转换，计数功能及动物称重功能，装置RS232C输出接口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3.称量范围(g)：300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4.可读性/精度：10mg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5.外形尺寸（mm）：270×190×110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6.秤盘尺寸（mm）：Ф130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7CDA4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9A59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155482A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773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14804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笔式酸度计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9FC0D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1.PH测量范围：0.00-14.00Ph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2.分辨率：±0.01Ph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3.校准点：3点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4.使用校准液：USA（ph4.01/7.00/10.01）或NIST（ph4.01/6.86/9.18）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5.温度补偿范围：0-50℃32-122F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6.温度补偿方式：自动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7.温度显示：显示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8.数据锁定：手动锁定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9.传感器类型：E-PHSCAN-ST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10.操作温度：0-50℃32-122F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11.电源类型：4*LR44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12.电源使用时间：约80小时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13.外形尺寸：185（长）*40（直径）mm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14.仪表重量：88g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927F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957F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支</w:t>
            </w:r>
          </w:p>
        </w:tc>
      </w:tr>
      <w:tr w14:paraId="42F65F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F541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92229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移液器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4C91D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1.自重轻，操作轻便省力，手柄挂钩设计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2.数字视窗，所设置量程一目了然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3.采用陶瓷活塞，耐腐蚀效果好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4.采用免维护密封环，使用更便捷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5.采用新型材料，可整支121℃高温高压消毒，通过CE标准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6.精确的分液，量程分别为： 0.5-10μL，10-100μL，20-200μL，100-1000μL，1000-5000μL，（一套）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★提供第三方检测机构出具的校准报告，必须有CMA或CNAS认证，且校准报告内移液器“示值允差±0.01μL”为合格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2424E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ABDB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2CB11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4D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B45BA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移液器架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3D3A7C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Z型，5支位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2F0F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C929E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3F2458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5B3C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E272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高压灭菌锅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26015B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1.灭菌有效容积：50L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2.最高工作压力：0.22MPa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3.最高工作温度：134℃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4.热均匀度：≤±1℃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5.计时控制范围：0～99min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6.压力温度控制范围：105～134℃/0.04～0.22MPa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7.功率/电源电压：3000W/AC220V.50Hz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8.安全特能：断水过热保护、电流过载自动切断、超压自动释放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19759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7FE3F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0D6E3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4459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4350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PH计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DD4B4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数字式pH值计是测量溶液酸碱度pH值，同时可测定电动势mV值，各个参数的设置和测量使用开关进行切换，并且使用LED数码发光管显示。本仪器采用全量程温复合玻璃电极，可精确设置被测溶液的温度，由数码发光管显示并同时实现温度补偿。仪器测量精度高、可靠性好、稳定性强、操作使用方便，是实验室理想的仪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2.仪器特点大屏幕、液晶显示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3.同时测量或显示pH、温度或mV、温度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4.电器接插件低于平面，有助于防腐和安全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5.仪器级别0.01级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6.测量范围pH:(-2.00~18.00)pHmV:(-1999~0)，（0~1999)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7.温度：(0~99.9)℃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8.分辨率pH：±0.01mV：±1mV温度：0.1℃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9.基本误差pH：±0.01pHmV:±1mV温度：0.3℃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10.输入阻抗不小于1×1012Ω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11.稳定性±0.01pH/3h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12.温度补偿范围（0~100）℃手动或自动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13.外形尺寸300×220×90mm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14.仪器重量1.6kg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15.仪器配置pH复合电极一支，pH标准缓冲试剂2套，自动温度补偿电极1支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★提供第三方检测机构出具的校准报告，必须有CMA或CNAS认证，且校准报告内体现PH示值误差、MV示值误差、温度补偿示值误差、电计示值重复性、仪器示值误差、仪器重复性的检测数据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D50C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113C3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358D35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7D6A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0B47F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接种器具灭菌器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874014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接种器械灭菌器，具有重量轻、体积小、杀菌快、保温好、安全、节能、无污染等特点。特别适用于植物组织培养接种和其他领域的小型刀、剪、镊、针进行重复操作的消毒杀菌，克服了传统酒精灯消毒杀菌的空气污染和火灾隐患，生产效率大大提高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1.不锈钢口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2.温度设定范围：0-330度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3.输入电压：AC220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4.功率：35W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5.净重：2KG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6.包装尺寸180*100*205mm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7.镊子架1个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★提供第三方检测机构出具的校准报告，必须有CMA或CNAS认证，且校准报告内体现温度偏差、温度均匀度、温度波动度的检测数据，且校准结果为合格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DB02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2CCB7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38AAFB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836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65C0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光照培养架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93E47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光照培养架是接种后的组培苗生长的场所，为组培苗的生长提供了适宜的光照，是植物组织培养实验中放置无菌苗的仪器。适用于植物组织培养实验中，主要为接种后的组培苗提供正常生长发育所需要的场所，同时也可以用作炼苗的装置。使用光照培养架还可进行探究实验，探究光照对植物开花的影响或者培养无光照对植物生长的影响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1.可用于初级《生命科学》、《科学》有关光合作用必做、选做实验，高级中学《生命科学》，有关选修课，组织培养等实验。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2.本产品以优质钢材经加工制成，整体结构牢固，光滑无毛刺，不氧化，无锈屑脱落，易擦洗；照明电路有套管保护，符合中学实验室对设备的牢固、安全、整洁美观要求。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3.外型尺寸为:1200mm×400mm×1800mm,分五层、每层层高40mm均分，可安置锥形瓶、烧杯、培养皿或培养缸，最下层巨地面高20mm，可搁置天竺葵等盆栽植物，作为光合作用场所及产物为淀粉的验证实验或探究实验之用。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4.每层均配置荧光灯， 且各层独立布线控制启闭，可视需要进行光照。每层灯独立开关（根据客户需求可以定制每组独立开光控制）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5.控时器参数：即时工作指示灯；铜片结构优化设计，寿命更长夏令时/冬令时功能；大屏幕液晶显示设定；最小时间间隔为1分钟,每天最多可设置20组开与关,每周可设置140组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9E28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60C8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6EF433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A30B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261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紫外灭菌车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DFD4A64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外线杀菌车是消毒设备，主要用于医疗，卫生，家庭，饭店等公共场所;也适用于幼儿园，食品制造，工厂，畜牧业，家禽饲养业消毒使用，还可供细菌研究单位，制药行业等进行细菌研究，光化学反应等。主要作用于微生物的核酸，导致其破坏，同时对蛋白质、酶及其它生命攸关的物质的作用，致使微生物死亡，达到消毒的目的。消毒效果可靠，而且可在室内有人活动时使用，一般开机消毒30min即可达到消毒合格，适用于医疗单位室内环境消毒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1.紫外消毒车采用双灯管结构，并可以单独使用，灯臂角度可以180度调节，不用时请垂放关上保护门以免灯管破坏，又能保持灯管清洁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2.定时器可以在120分钟内定时控制消毒时间，定时器工作完毕会自行断路而灯管熄灭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3.形式为移动式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4.安全防护分类为I类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5.灯臂长度为：920mm+2mm,灯臂调节角度为0-180度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6.输入功率为：150VA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7.环境温度：5-40C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8.相对温度：80%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9.电源220V+22V50Hz+1Hz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10.紫外线波长253.7A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11.电流电压220V50Hz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12.功率2×30W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13.灯臂调节角度:0-180°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14.定时范围：1-120分钟，其最大定时误差&lt;=15min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15.消毒车采用的消毒灯管符合GB19258-2003的规定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16.熔断器规格：FUSES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F211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9F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60C812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4AE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F092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电磁炉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36BC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1、操控方式：触控式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2、外形外观：方形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3、适用锅具：磁炉专用锅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4、火力档位：8档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5、类型：电磁炉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6、温控方式：接触式精准控温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7、功能：过热保护，恒温匀火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8、额定功率：2200W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7F7E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1A8F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5C0375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001A6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3BC9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实验服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3C13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可高温灭菌，反复使用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A24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AED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件</w:t>
            </w:r>
          </w:p>
        </w:tc>
      </w:tr>
      <w:tr w14:paraId="3CE882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AA2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4B67B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探究实验耗材包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A0CD4E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不锈钢直尖剪刀5把；枪型不锈钢镊子5把；四种规格吸头：吸头5000uL-1包，吸头1000uL-1包，吸头200uL-1包，吸头10uL-1包；四种规格吸头盒各5个；不锈钢防爆酒精灯5个；两面板5个；组培瓶4箱，0.5mL离心管1包；1.5mL离心管1包；封口膜1包；一次性培养皿1箱；酒精棉球4包，手套200付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27FF1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5F93B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6DEDD0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198C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B899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组培苗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64B6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含150ml专用组培瓶，烟草、菊花等教学用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B8FA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6C450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瓶</w:t>
            </w:r>
          </w:p>
        </w:tc>
      </w:tr>
      <w:tr w14:paraId="6816A2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B60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10A6A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试剂盒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C1B4D5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植物的组织培养；菊花的组织培养；烟草的组织培养；百合的组织培养；月季的组织培养；草莓的组织培养；菩提的组织培养；小丽花的组织培养；彩叶草的组织培养；矮牵牛的组织培养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0DE3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BFE3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 w14:paraId="0767C5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EEBF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F1A5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课程培训与服务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454E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1.全模块系统提升活动：遗传学+演化生物学+生物信息学（含生物技术）；动物学+动物生理+生态学+动物行为学；细胞+生物化学+分子生物学；植物学+植物生理学+微生物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2.培训人员具备教师资格证，硕士以上学历证书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5C97C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EF851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项</w:t>
            </w:r>
          </w:p>
        </w:tc>
      </w:tr>
      <w:tr w14:paraId="3D15AB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958C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91D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酵母菌菌液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3CA4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1.5ml离心管，30管/包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F0D3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BE0F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</w:tr>
      <w:tr w14:paraId="369AD1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3D9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17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125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大肠杆菌菌液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7A2B23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1.5ml离心管，30管/包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41B7F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47F5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</w:tr>
      <w:tr w14:paraId="192D574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B38B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A21A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金黄色葡萄球菌菌液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B5408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1.5ml离心管，30管/包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CB291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046A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包</w:t>
            </w:r>
          </w:p>
        </w:tc>
      </w:tr>
      <w:tr w14:paraId="6437CDB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4A5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6F433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无菌室玻璃隔断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263E2FD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铝合金框架，10mm厚钢化玻璃隔断，含配件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4ABA53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52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3B557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㎡</w:t>
            </w:r>
          </w:p>
        </w:tc>
      </w:tr>
      <w:tr w14:paraId="2548F8A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222D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86193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单扇钢化门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EDD540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12mm钢化玻璃门，800x2000mm，含门五金配件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E32B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16828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扇</w:t>
            </w:r>
          </w:p>
        </w:tc>
      </w:tr>
      <w:tr w14:paraId="0BD477C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14207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C3FC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紫外灭菌系统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65C3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杀菌线紫外灯加延时警示灯，单独控制，独立线路，含安装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99136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094DC2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 w14:paraId="7EB1BF6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3845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7C4FE8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数码显微镜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D79A0C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主要技术指标：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1.为确保使用者人身安全，仪器应为低压供电，标配19V低压供电电源适配器；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2.▲一体化设计，自带液晶屏，液晶屏与机身一体式设计，拆开包装，液晶屏与机身已完好链接，接上电源即可使用，无需再进行目镜、物镜及其他部件的组装，除一条电源线外，再无其它外露数据线；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 ▲确保仪器的稳定性、安全性，仪器采用四平八稳的长方形底座，仪器净重≥7kg；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4.▲为确保仪器操作的便利性，开关键应设计在仪器底座上方的右前方，开关键为一键式无极旋钮且具备电源开关机、上下光源切换、亮度调节的功能；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5.▲为确保仪器挪动过程中的安全性，机身上方设置明确提手，可以单手提起仪器，仪器正置以避免目镜及载物台上的物体跌落；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6.▲为确保仪器使用的稳定性及安全性，所有数据接口以及电源接口设置在仪器底座上；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7.数码功能 显微镜拍照像素：≥1600万像素；录像分辨率：≥1080P/30FPS；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8.画面无拖尾及延迟现象，仪器本身可实现照片和视频回放功能；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9.▲液晶显示屏尺寸和参数：10.1寸高清触摸液晶屏，屏幕分辨率1920×1200；像素密度不低于220PPI，水平旋转性能：顺时针可转动180°、逆时针旋转90°, 上下翻转性能：上下翻转角度可达180°； 屏幕转动时，双目观察部件及屏幕影像画面不随之转动；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10.▲ 一机多功能：既有生物显微镜功能，又有实体显微镜功能；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11.为了方便操作，仪器操作系统采用了Android11或以上带触摸屏操作系统。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仪器运行内存为2G，存储内存为32G；所拍摄的显微照片及视频可存储于仪器中；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.▲为了提高显微观察教学的效率和质量，仪器须具有在显微观察画面上进行标注的功能。仪器在同一界面有涂鸦、直线、圆形、文字等操作图标，使用者可在不切换界面的情况下即可进行涂鸦、直线、圆形、文字标注，并生成图片保存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13.▲为方便学生获取实验数据，仪器可通过USB接口接入U盘时，数据优先存储于U盘中，便于实验数据保存及转移；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14.数据接口：IEEE802.3标准RJ45接口，USB接口，同时支持WIFI；搭配使用电脑端显微互动软件，同步传输显微观测画面至电脑端，以实现高清显微点播教学，方便教学指导，设备自带HDMI高清输出接口；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15.▲为了进一步加强对观察物体的了解，仪器显示界面设有定点测量功能，只须手指在所需测量的两点之间一划，即可测量出两点的长度大小；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16.▲为了更好实现物镜倍率切换，仪器配备外倾式五孔物镜转换器；转换器定位准确，其重复性误差不大于0.020mm；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17.生物显微镜物镜：无限远平场消色差1×，NA≥0.05，WD≥20mm，成像清晰圆直径≥18mm；无限远平场消色差4×，NA≥0.1，WD≥7.6mm，成像清晰圆直径≥18mm；无限远平场消色差10×，NA≥0.25，WD≥4.2mm，成像清晰圆直径≥18mm；无限远平场消色差40×（弹簧），NA≥0.65，WD≥0.55mm，成像清晰圆直径≥18mm；无限远平场消色差100×（弹簧），NA≥1.25，WD≥0.19mm，成像清晰圆直径≥15mm； 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18.物镜齐焦性良好，由10倍换到10倍以下物镜时，齐焦允差±0.10mm；由10倍换到10倍以上物镜时齐焦允差±0.03mm；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19.目镜：WF10X/Φ20mm大视场，高眼点，双筒屈光度±5可调，双目铰链观察镜筒：倾斜30°，瞳距调节范围50~75mm,目镜筒作360度旋转时，目镜焦平面上像中心的位移不大于0.6mm；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20.观察的齐焦性：为了使用者观察效率，屏幕与两个目镜必须同步清晰。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21. ▲调焦机构：粗微动同轴调焦，左右两侧均有粗调与微调手轮，调焦行程（载物台升降行程）≥50mm，有防滑装置；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22.微调机构：用10倍物镜观察，在景深范围内像面中心位移不大于0.05ｍｍ；微调焦结构空回不大于0.004mm；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23.载物台：当载物台左侧或右侧受5N水平方向作用力时，其最大位移不大于0.05mm；作用力撤去后载物台恢复原位，相对的原位偏移量不大于0.005mm；标本在５mm×５mm范围内移动时，调焦量不大于0.008mm;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24.▲内置式双层移动机构载物台：为了有效防止机构外置而伤及学生，载物台上的玻片夹移动到极左或极右时无突出部件；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25.载物台尺寸: 工作平面146mm*137mm（±1mm），X、Y轴可连续移动，移动范围，X轴40mm，Y轴27mm（±1mm）；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26.▲照明装置：内置LED底光源 、内置LED侧光源；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27.▲仪器底座设置有液晶屏显示工作状态，显示光亮度级别，中文提示上、下光源模式等功能。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★必须提供具有CNAS认证标识的检验报告，响应参数逐条对应，带▲的为重点技术指标，必须以检测报告结果为准，未提供相应检测报告的视为不满足参数；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4402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956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 w14:paraId="208E3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0" w:hRule="atLeast"/>
          <w:jc w:val="center"/>
        </w:trPr>
        <w:tc>
          <w:tcPr>
            <w:tcW w:w="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4C7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23</w:t>
            </w:r>
          </w:p>
        </w:tc>
        <w:tc>
          <w:tcPr>
            <w:tcW w:w="12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F4D5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电热恒温培养箱</w:t>
            </w:r>
          </w:p>
        </w:tc>
        <w:tc>
          <w:tcPr>
            <w:tcW w:w="552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10A8C74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45L,镜面不锈钢板，云母电热膜，0.45KW,智能PID，内层隔板10层</w:t>
            </w:r>
          </w:p>
        </w:tc>
        <w:tc>
          <w:tcPr>
            <w:tcW w:w="8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3AF0A7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9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FFFFFF"/>
            <w:vAlign w:val="center"/>
          </w:tcPr>
          <w:p w14:paraId="58D570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</w:tbl>
    <w:p w14:paraId="2983CB6B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0FC6C021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​五、供应商资格要求​</w:t>
      </w:r>
    </w:p>
    <w:p w14:paraId="6C052BF3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具有独立承担民事责任的能力，提供有效的营业执照（经营范围包含实验室设备或试剂销售）；​</w:t>
      </w:r>
    </w:p>
    <w:p w14:paraId="4E48510C">
      <w:pPr>
        <w:bidi w:val="0"/>
        <w:ind w:firstLine="560" w:firstLineChars="200"/>
        <w:rPr>
          <w:rFonts w:hint="eastAsia" w:ascii="宋体" w:hAnsi="宋体" w:eastAsia="宋体" w:cs="宋体"/>
          <w:color w:val="FF000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具有履行合同所必需的设备和专业技术能力，提供类似项目业绩证明（近 3 年承接过学校或科研机构实验室物品采购项目合同复印件）；</w:t>
      </w:r>
      <w:r>
        <w:rPr>
          <w:rFonts w:hint="default" w:ascii="宋体" w:hAnsi="宋体" w:eastAsia="宋体" w:cs="宋体"/>
          <w:color w:val="FF0000"/>
          <w:sz w:val="28"/>
          <w:szCs w:val="28"/>
          <w:lang w:val="en-US" w:eastAsia="zh-CN"/>
        </w:rPr>
        <w:t>​</w:t>
      </w:r>
    </w:p>
    <w:p w14:paraId="363D46F7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default" w:ascii="宋体" w:hAnsi="宋体" w:eastAsia="宋体" w:cs="宋体"/>
          <w:sz w:val="28"/>
          <w:szCs w:val="28"/>
        </w:rPr>
        <w:t>供应商需提供所投产品的相关检测报告、认证证书等，以证明产品符合国家及行业标准。​</w:t>
      </w:r>
    </w:p>
    <w:p w14:paraId="7B364322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eastAsia" w:ascii="宋体" w:hAnsi="宋体" w:eastAsia="宋体" w:cs="宋体"/>
          <w:sz w:val="28"/>
          <w:szCs w:val="28"/>
        </w:rPr>
        <w:t>参加本次招标活动前三年内，在经营活动中没有重大违法记录，提供书面声明函。​</w:t>
      </w:r>
    </w:p>
    <w:p w14:paraId="303E9AAA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5.</w:t>
      </w:r>
      <w:r>
        <w:rPr>
          <w:rFonts w:hint="eastAsia" w:ascii="宋体" w:hAnsi="宋体" w:eastAsia="宋体" w:cs="宋体"/>
          <w:sz w:val="28"/>
          <w:szCs w:val="28"/>
        </w:rPr>
        <w:t>本项目不接受联合体投标。</w:t>
      </w:r>
      <w:r>
        <w:rPr>
          <w:rFonts w:hint="default" w:ascii="宋体" w:hAnsi="宋体" w:eastAsia="宋体" w:cs="宋体"/>
          <w:color w:val="FF0000"/>
          <w:sz w:val="28"/>
          <w:szCs w:val="28"/>
          <w:lang w:val="en-US" w:eastAsia="zh-CN"/>
        </w:rPr>
        <w:t>​</w:t>
      </w:r>
    </w:p>
    <w:p w14:paraId="0E689AF6">
      <w:pPr>
        <w:bidi w:val="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七.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预算金额明确：项目总预算为人民币捌万伍仟元（¥85,000.00），投标人报价不得超出该金额。</w:t>
      </w:r>
    </w:p>
    <w:p w14:paraId="18553103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缺项责任划分：投标文件中若遗漏预算清单内的必要项目，后续产生的补充费用由投标人全额承担，招标人不追加任何额外预算。</w:t>
      </w:r>
    </w:p>
    <w:p w14:paraId="627D1CAF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风险提示：投标人需仔细核对项目需求及预算清单，充分考虑潜在缺项风险，避免因漏项导致成本亏损。</w:t>
      </w:r>
    </w:p>
    <w:p w14:paraId="017AD9DE">
      <w:pPr>
        <w:bidi w:val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八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、报价要求​</w:t>
      </w:r>
    </w:p>
    <w:p w14:paraId="47B5A190">
      <w:pPr>
        <w:numPr>
          <w:ilvl w:val="0"/>
          <w:numId w:val="0"/>
        </w:numPr>
        <w:bidi w:val="0"/>
        <w:ind w:firstLine="280" w:firstLineChars="100"/>
        <w:rPr>
          <w:rFonts w:hint="default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</w:t>
      </w:r>
      <w:r>
        <w:rPr>
          <w:rFonts w:hint="default" w:ascii="宋体" w:hAnsi="宋体" w:eastAsia="宋体" w:cs="宋体"/>
          <w:sz w:val="28"/>
          <w:szCs w:val="28"/>
        </w:rPr>
        <w:t>本次报价为含税全包价，包括产品价格、运输费、安装调试费、售后服务费等一切费用。</w:t>
      </w:r>
    </w:p>
    <w:p w14:paraId="03ED7685">
      <w:pPr>
        <w:numPr>
          <w:ilvl w:val="0"/>
          <w:numId w:val="0"/>
        </w:numPr>
        <w:bidi w:val="0"/>
        <w:ind w:leftChars="200"/>
        <w:rPr>
          <w:rFonts w:hint="default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</w:t>
      </w:r>
      <w:r>
        <w:rPr>
          <w:rFonts w:hint="default" w:ascii="宋体" w:hAnsi="宋体" w:eastAsia="宋体" w:cs="宋体"/>
          <w:sz w:val="28"/>
          <w:szCs w:val="28"/>
        </w:rPr>
        <w:t>报价文件应密封提交，注明项目名称、供应商名称、联系人及联系电话等信息。报价文件需加盖供应商公章，否则视为无效报价。</w:t>
      </w:r>
    </w:p>
    <w:p w14:paraId="12532F15">
      <w:pPr>
        <w:numPr>
          <w:ilvl w:val="0"/>
          <w:numId w:val="0"/>
        </w:numPr>
        <w:bidi w:val="0"/>
        <w:ind w:firstLine="280" w:firstLineChars="100"/>
        <w:rPr>
          <w:rFonts w:hint="eastAsia" w:ascii="宋体" w:hAnsi="宋体" w:eastAsia="宋体" w:cs="宋体"/>
          <w:sz w:val="28"/>
          <w:szCs w:val="28"/>
        </w:rPr>
      </w:pPr>
      <w:r>
        <w:rPr>
          <w:rFonts w:hint="default" w:ascii="宋体" w:hAnsi="宋体" w:eastAsia="宋体" w:cs="宋体"/>
          <w:sz w:val="28"/>
          <w:szCs w:val="28"/>
        </w:rPr>
        <w:t>​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</w:t>
      </w:r>
      <w:r>
        <w:rPr>
          <w:rFonts w:hint="default" w:ascii="宋体" w:hAnsi="宋体" w:eastAsia="宋体" w:cs="宋体"/>
          <w:sz w:val="28"/>
          <w:szCs w:val="28"/>
        </w:rPr>
        <w:t>报价截止时间：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2025年11月 25日下午17点</w:t>
      </w:r>
      <w:r>
        <w:rPr>
          <w:rFonts w:hint="default" w:ascii="宋体" w:hAnsi="宋体" w:eastAsia="宋体" w:cs="宋体"/>
          <w:sz w:val="28"/>
          <w:szCs w:val="28"/>
        </w:rPr>
        <w:t>​</w:t>
      </w:r>
    </w:p>
    <w:p w14:paraId="072D6032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4.</w:t>
      </w:r>
      <w:r>
        <w:rPr>
          <w:rFonts w:hint="default" w:ascii="宋体" w:hAnsi="宋体" w:eastAsia="宋体" w:cs="宋体"/>
          <w:sz w:val="28"/>
          <w:szCs w:val="28"/>
        </w:rPr>
        <w:t>报价文件递交地点：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安徽省铜陵市义安区顺安镇顺凤路铜陵中学二楼总务处办公室。</w:t>
      </w:r>
      <w:r>
        <w:rPr>
          <w:rFonts w:hint="eastAsia" w:ascii="宋体" w:hAnsi="宋体" w:eastAsia="宋体" w:cs="宋体"/>
          <w:sz w:val="28"/>
          <w:szCs w:val="28"/>
        </w:rPr>
        <w:t>收件人：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韩康</w:t>
      </w:r>
      <w:r>
        <w:rPr>
          <w:rFonts w:hint="eastAsia" w:ascii="宋体" w:hAnsi="宋体" w:eastAsia="宋体" w:cs="宋体"/>
          <w:sz w:val="28"/>
          <w:szCs w:val="28"/>
        </w:rPr>
        <w:t>，联系电话：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13955925468</w:t>
      </w:r>
    </w:p>
    <w:p w14:paraId="6CA814AD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九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、其他事项​</w:t>
      </w:r>
    </w:p>
    <w:p w14:paraId="2B57D559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交货期：中标通知书发出后 30 日内完成所有物品的供货、安装、调试，并通过采购单位验收；​</w:t>
      </w:r>
    </w:p>
    <w:p w14:paraId="39828030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交货地点：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铜陵中学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生物实验室指定位置（含卸货、搬运至指定楼层）；​</w:t>
      </w:r>
    </w:p>
    <w:p w14:paraId="587A4727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质保期：设备类产品质保期≥2 年，试剂耗材类产品质保期≥1 年（自验收合格之日起计算），质保期内出现质量问题，供应商需在 48 小时内响应并免费维修或更换；​</w:t>
      </w:r>
    </w:p>
    <w:p w14:paraId="13A3D4A4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验收标准：参照国家相关标准及本公告技术参数要求，提供相关检测报告及合格证明，验收合格后签署《验收报告》；​</w:t>
      </w:r>
    </w:p>
    <w:p w14:paraId="5B4996ED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付款方式：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合同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 xml:space="preserve">验收合格后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 xml:space="preserve">0 日内，采购单位支付合同总金额的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100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%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（不可抗拒力除外）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；​</w:t>
      </w:r>
    </w:p>
    <w:p w14:paraId="15082589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十、开标时间及地点​</w:t>
      </w:r>
    </w:p>
    <w:p w14:paraId="5EBB3DC0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开标时间：2025年11月 27 日上午9:00。​</w:t>
      </w:r>
    </w:p>
    <w:p w14:paraId="3CFFDF2F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开标地点：铜陵中学勤政楼三楼会议室。</w:t>
      </w:r>
    </w:p>
    <w:p w14:paraId="03607D5F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十一、评标标准及方法​</w:t>
      </w:r>
    </w:p>
    <w:p w14:paraId="2083ACB0">
      <w:pPr>
        <w:bidi w:val="0"/>
        <w:ind w:firstLine="560" w:firstLineChars="200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本次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最低价中标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评分法，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在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产品性能、售后服务、企业信誉等方面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充分满足的条件下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。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报价最低的中标（超过本项目预算的报价无效，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若供应商报价明显低于成本价，可能影响产品质量和售后服务，评标委员会有权要求供应商作出合理说明，若无法说明或说明不合理，该报价视为无效报价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）</w:t>
      </w:r>
      <w:r>
        <w:rPr>
          <w:rFonts w:hint="default" w:ascii="宋体" w:hAnsi="宋体" w:eastAsia="宋体" w:cs="宋体"/>
          <w:sz w:val="28"/>
          <w:szCs w:val="28"/>
          <w:lang w:val="en-US" w:eastAsia="zh-CN"/>
        </w:rPr>
        <w:t>​</w:t>
      </w:r>
    </w:p>
    <w:p w14:paraId="244727B8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十二、其他事项​</w:t>
      </w:r>
    </w:p>
    <w:p w14:paraId="5413DFE7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1.投标人应承担所有与准备和参加投标有关的费用，无论投标的结果如何，招标人在任何情况下均无义务和责任承担这些费用。​</w:t>
      </w:r>
    </w:p>
    <w:p w14:paraId="44532FF6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2.招标人有权对中标人提供的产品进行抽检，若发现产品质量不符合要求，有权取消中标资格，并追究相关责任。​</w:t>
      </w:r>
    </w:p>
    <w:p w14:paraId="65749759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3.本招标公告的解释权归铜陵中学所有。​</w:t>
      </w:r>
    </w:p>
    <w:p w14:paraId="6CF8067D">
      <w:pPr>
        <w:bidi w:val="0"/>
        <w:ind w:firstLine="560" w:firstLineChars="200"/>
        <w:rPr>
          <w:rFonts w:hint="eastAsia" w:ascii="宋体" w:hAnsi="宋体" w:eastAsia="宋体" w:cs="宋体"/>
          <w:sz w:val="28"/>
          <w:szCs w:val="28"/>
          <w:lang w:val="en-US" w:eastAsia="zh-CN"/>
        </w:rPr>
      </w:pPr>
    </w:p>
    <w:p w14:paraId="166BB94E">
      <w:pPr>
        <w:bidi w:val="0"/>
        <w:ind w:firstLine="560" w:firstLineChars="200"/>
        <w:jc w:val="right"/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铜陵中学​</w:t>
      </w:r>
    </w:p>
    <w:p w14:paraId="19777775">
      <w:pPr>
        <w:bidi w:val="0"/>
        <w:ind w:firstLine="560" w:firstLineChars="200"/>
        <w:jc w:val="righ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2025年11月19日</w:t>
      </w:r>
    </w:p>
    <w:p w14:paraId="5B9270E6">
      <w:pPr>
        <w:rPr>
          <w:rFonts w:hint="eastAsia" w:ascii="宋体" w:hAnsi="宋体" w:eastAsia="宋体" w:cs="宋体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roma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2E0CA1"/>
    <w:rsid w:val="09EA6B32"/>
    <w:rsid w:val="1D2C2784"/>
    <w:rsid w:val="1F5F3AFB"/>
    <w:rsid w:val="2BF83121"/>
    <w:rsid w:val="372E0CA1"/>
    <w:rsid w:val="37E82A74"/>
    <w:rsid w:val="3C3A0DCA"/>
    <w:rsid w:val="3DC67DE5"/>
    <w:rsid w:val="750E26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5698</Words>
  <Characters>6714</Characters>
  <Lines>0</Lines>
  <Paragraphs>0</Paragraphs>
  <TotalTime>1510</TotalTime>
  <ScaleCrop>false</ScaleCrop>
  <LinksUpToDate>false</LinksUpToDate>
  <CharactersWithSpaces>6742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2025-07-24T00:26:00Z</dcterms:created>
  <dc:creator>姚绮</dc:creator>
  <cp:lastModifiedBy>姚绮</cp:lastModifiedBy>
  <cp:lastPrinted>2025-11-19T08:02:08Z</cp:lastPrinted>
  <dcterms:modified xsi:type="dcterms:W3CDTF">2025-11-19T08:18:11Z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53BEF67B87A04909BFEA637C054A1F27_13</vt:lpwstr>
  </property>
  <property fmtid="{D5CDD505-2E9C-101B-9397-08002B2CF9AE}" pid="4" name="KSOTemplateDocerSaveRecord">
    <vt:lpwstr>eyJoZGlkIjoiZDUzZDE4ZWQxOWNjZjgyZDc3YmY2NGUwYmM0NTFmOWYiLCJ1c2VySWQiOiIyNjcyODI2NDEifQ==</vt:lpwstr>
  </property>
</Properties>
</file>